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BA" w:rsidRDefault="004F39BA" w:rsidP="004F39BA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inherit" w:hAnsi="inherit" w:cs="Arial"/>
          <w:color w:val="555555"/>
          <w:sz w:val="21"/>
          <w:szCs w:val="21"/>
        </w:rPr>
        <w:t>Правовое обоснование решения проблем (тактической задачи) путем реализации целевой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 xml:space="preserve">Федеральный закон «О развитии малого и среднего предпринимательства в Российской </w:t>
      </w:r>
      <w:proofErr w:type="gramStart"/>
      <w:r>
        <w:rPr>
          <w:rFonts w:ascii="inherit" w:hAnsi="inherit" w:cs="Arial"/>
          <w:color w:val="555555"/>
          <w:sz w:val="55"/>
          <w:szCs w:val="55"/>
        </w:rPr>
        <w:t>Федерации»  от</w:t>
      </w:r>
      <w:proofErr w:type="gramEnd"/>
      <w:r>
        <w:rPr>
          <w:rFonts w:ascii="inherit" w:hAnsi="inherit" w:cs="Arial"/>
          <w:color w:val="555555"/>
          <w:sz w:val="55"/>
          <w:szCs w:val="55"/>
        </w:rPr>
        <w:t xml:space="preserve"> 24.27.2007 № 209-ФЗ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Статья 11. </w:t>
      </w:r>
      <w:r>
        <w:rPr>
          <w:rFonts w:ascii="Arial" w:hAnsi="Arial" w:cs="Arial"/>
          <w:color w:val="555555"/>
          <w:sz w:val="21"/>
          <w:szCs w:val="21"/>
        </w:rPr>
        <w:t>Полномочия органов местного самоуправления по вопросам развития малого и среднего предпринимательства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2.Содержание проблемы и обоснование необходимости ее решения программными методами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Малый и средний бизнес играет важную роль в решении экономических и социальных задач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поселения .</w:t>
      </w:r>
      <w:proofErr w:type="gramEnd"/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Малый и средний бизнес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интенсивно развивается.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сфере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 имеются проблемы, которые предстоит устранить: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наблюдается сложность в банковском кредитовании для вновь создаваемых малых предприятий и предпринимателей;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недостаточен спрос на продукцию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сохраняется недостаток квалифицированных кадров у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поселении, позволит согласовать и скоординировать совместные действия органов местного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самоуправления,  предпринимательских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поселении.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3. Цели и основные задачи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целями Программы являются: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увеличение доли участия субъектов малого и среднего предпринимательства в производстве товаров, оказании услуг;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обеспечение конкурентоспособности продукции, товаров, услуг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достижения поставленных целей предусматривается решение следующих задач: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поддержка субъектов малого и среднего предпринимательства,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развитие инфраструктуры поддержки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совершенствование внешней среды для развития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Перечень программных мероприятий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1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Перечень мероприятий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ведомственной целевой программы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«Поддержка малого и среднего предпринимательства в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Кебезенском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сельском поселении на 2017-2019 годы»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708"/>
        <w:gridCol w:w="2078"/>
        <w:gridCol w:w="962"/>
        <w:gridCol w:w="962"/>
        <w:gridCol w:w="962"/>
      </w:tblGrid>
      <w:tr w:rsidR="004F39BA" w:rsidTr="004F39BA"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Наименование мероприятия</w:t>
            </w:r>
          </w:p>
        </w:tc>
        <w:tc>
          <w:tcPr>
            <w:tcW w:w="25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Исполнители</w:t>
            </w:r>
          </w:p>
        </w:tc>
        <w:tc>
          <w:tcPr>
            <w:tcW w:w="32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Стоимость </w:t>
            </w:r>
            <w:proofErr w:type="spellStart"/>
            <w:r>
              <w:t>тыс.рублей</w:t>
            </w:r>
            <w:proofErr w:type="spellEnd"/>
          </w:p>
        </w:tc>
      </w:tr>
      <w:tr w:rsidR="004F39BA" w:rsidTr="004F39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2017г.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2018г.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2019г.</w:t>
            </w: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/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Регулярное освещение в средствах массовой информации о принимаемых мерах по поддержке и развитию предпринимательства в поселении, обеспечение гласности и открытости в сфере малого и среднего бизнеса. Подготовка и публикация бюллетеней, каталогов, листовок,  справочно-информационных и иных изданий, способствующих установлению </w:t>
            </w:r>
            <w:r>
              <w:lastRenderedPageBreak/>
              <w:t>деловых контактов и решению проблем субъектов малого и среднего предпринимательства.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lastRenderedPageBreak/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lastRenderedPageBreak/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/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Обеспечение субъектов малого и среднего предпринимательства  консультативной и правовой помощью.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25,640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37,180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37,180</w:t>
            </w:r>
          </w:p>
        </w:tc>
      </w:tr>
    </w:tbl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                              5. Ресурсное обеспечение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из бюджета поселения составляет 100,00 тыс. рублей.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                                 6. Сроки реализации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Срок реализации Программы — 2017 – 2019 г.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Организация управления (механизм реализации) Программой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Заказчиком Программы является Администрация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поселения, в функции которой входит организация выполнения мероприятий Программы и координация взаимодействия исполнителей.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ч.2 ст. Закона № 209-ФЗ определены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 к Программе).</w:t>
      </w:r>
    </w:p>
    <w:p w:rsidR="004F39BA" w:rsidRDefault="004F39BA" w:rsidP="004F39BA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Оценка эффективности результатов</w:t>
      </w:r>
      <w:r>
        <w:rPr>
          <w:rFonts w:ascii="inherit" w:hAnsi="inherit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реализации</w:t>
      </w:r>
      <w:r>
        <w:rPr>
          <w:rFonts w:ascii="inherit" w:hAnsi="inherit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Планируемые результаты реализации программы приведены в таблице 1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1.</w:t>
      </w:r>
    </w:p>
    <w:tbl>
      <w:tblPr>
        <w:tblW w:w="104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117"/>
        <w:gridCol w:w="1421"/>
        <w:gridCol w:w="1431"/>
        <w:gridCol w:w="1431"/>
        <w:gridCol w:w="1431"/>
        <w:gridCol w:w="1431"/>
      </w:tblGrid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    п/п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Наименование  показателя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Единица измерения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2015 году (кол-во)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2016 году (кол-во)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2017 году (кол-во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2018-2019 году (кол-во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7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lastRenderedPageBreak/>
              <w:t>1.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Число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шт.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2.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Численность, занятых в малом и среднем предпринимательстве поселения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чел.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68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81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101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135</w:t>
            </w:r>
          </w:p>
        </w:tc>
      </w:tr>
    </w:tbl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ПРИЛОЖЕНИЕ  №</w:t>
      </w:r>
      <w:proofErr w:type="gramEnd"/>
      <w:r>
        <w:rPr>
          <w:rFonts w:ascii="Arial" w:hAnsi="Arial" w:cs="Arial"/>
          <w:color w:val="555555"/>
          <w:sz w:val="21"/>
          <w:szCs w:val="21"/>
        </w:rPr>
        <w:t>1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Поддержки к программе предпринимательства малого и среднего бизнеса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Условия и порядок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оказания поддержки субъектам малого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  среднего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принципами поддержки субъектов малого и среднего предпринимательства являются: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равный доступ субъектов малого и среднего предпринимательства, соответствующих критериям, предусмотренных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открытость процедур оказания поддержки.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Поддержка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субъектам малого и среднего предпринимательства, если они: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зарегистрированы и осуществляют свою деятельность на территории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поселения ;</w:t>
      </w:r>
      <w:proofErr w:type="gramEnd"/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находятся в стадии приостановления деятельности, реорганизации, ликвидации или банкротства.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Поддержка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отношении субъектов малого и среднего предпринимательства: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являющимся кредитными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организациями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осуществляющим предпринимательскую деятельность в сфере игорного бизнеса;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ископаемых ;</w:t>
      </w:r>
      <w:proofErr w:type="gramEnd"/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являющимся в порядке, установленном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Поддержка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организациям, образующим инфраструктуру поддержки малого и среднего предпринимательства, если они: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</w:t>
      </w:r>
      <w:r>
        <w:rPr>
          <w:rFonts w:ascii="Arial" w:hAnsi="Arial" w:cs="Arial"/>
          <w:color w:val="555555"/>
          <w:sz w:val="21"/>
          <w:szCs w:val="21"/>
        </w:rPr>
        <w:lastRenderedPageBreak/>
        <w:t>наложении штрафов или иных видов административной ответственности, об аресте имущества.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Порядок оказания поддержки субъектам малого и среднего предпринимательства включает в себя: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Консультационную поддержку субъектам малого и среднего предпринимательства по следующим направлениям:</w:t>
      </w:r>
    </w:p>
    <w:p w:rsidR="004F39BA" w:rsidRDefault="004F39BA" w:rsidP="004F39BA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Консультирование  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консультирование по вопросам регистрации субъектов предпринимательской деятельности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Консультационная поддержка субъектов малого и среднего предпринимательства оказывается в следующих формах: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в устной форме – лицам, обратившимся посредством телефонной связи или лично;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в письменной форме – юридическим и физическим лицам по обращениям.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3.Организационная поддержка субъектам малого и среднего предпринимательства предоставляется администрацией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в виде: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проведения переговоров с представителями органов государственной власти,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содействия в организации выставок, ярмарок, конференций и иных мероприятий, направленных на повышение информированности и деловой активности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Данное мероприятие направлено на создание положительного имиджа и повышение общественного статуса предпринимательства, а также на информирование субъектов малого и среднего предпринимательства о мероприятиях Программы и работе администрации поселения по содействию развитию предпринимательства.</w:t>
      </w:r>
    </w:p>
    <w:p w:rsidR="00C95B29" w:rsidRPr="004F39BA" w:rsidRDefault="00C95B29" w:rsidP="004F39BA"/>
    <w:sectPr w:rsidR="00C95B29" w:rsidRPr="004F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4F39BA"/>
    <w:rsid w:val="00BA4ACE"/>
    <w:rsid w:val="00C95B29"/>
    <w:rsid w:val="00ED0F0C"/>
    <w:rsid w:val="00F55E5D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2022-03-09T07:56:00Z</dcterms:created>
  <dcterms:modified xsi:type="dcterms:W3CDTF">2022-03-09T07:56:00Z</dcterms:modified>
</cp:coreProperties>
</file>