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0C" w:rsidRPr="00842A0C" w:rsidRDefault="00842A0C" w:rsidP="00842A0C">
      <w:pPr>
        <w:pStyle w:val="1"/>
        <w:shd w:val="clear" w:color="auto" w:fill="FFFFFF"/>
        <w:spacing w:before="120" w:beforeAutospacing="0" w:after="120" w:afterAutospacing="0" w:line="240" w:lineRule="atLeast"/>
        <w:jc w:val="center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842A0C">
        <w:rPr>
          <w:rFonts w:ascii="Arial" w:hAnsi="Arial" w:cs="Arial"/>
          <w:color w:val="555555"/>
          <w:sz w:val="22"/>
          <w:szCs w:val="22"/>
        </w:rPr>
        <w:t>Муниципальная программа «Комплексного развития социальной инфраструктуры «</w:t>
      </w:r>
      <w:proofErr w:type="spellStart"/>
      <w:r w:rsidRPr="00842A0C">
        <w:rPr>
          <w:rFonts w:ascii="Arial" w:hAnsi="Arial" w:cs="Arial"/>
          <w:color w:val="555555"/>
          <w:sz w:val="22"/>
          <w:szCs w:val="22"/>
        </w:rPr>
        <w:t>Кебезенского</w:t>
      </w:r>
      <w:proofErr w:type="spellEnd"/>
      <w:r w:rsidRPr="00842A0C">
        <w:rPr>
          <w:rFonts w:ascii="Arial" w:hAnsi="Arial" w:cs="Arial"/>
          <w:color w:val="555555"/>
          <w:sz w:val="22"/>
          <w:szCs w:val="22"/>
        </w:rPr>
        <w:t xml:space="preserve"> сельского поселения на 2016-2020 года и на период до 2025года»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Муниципальная программа</w:t>
      </w: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«Комплексного развития социальной инфраструктуры</w:t>
      </w: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«</w:t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Кебезенского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сельского поселения на 2016-2020 года и на период до 2025года»</w:t>
      </w: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(утв. Решением Администрации от  2016 г. № 20-1)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6212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Паспорт </w:t>
      </w:r>
      <w:bookmarkStart w:id="0" w:name="_GoBack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муниципальной программы</w:t>
      </w: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«Комплексного развития социальной инфраструктуры систем  </w:t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Кебезенского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bookmarkEnd w:id="0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сельского поселения на 2016-2020 года и на период до 2025 года»</w:t>
      </w:r>
    </w:p>
    <w:p w:rsidR="00621223" w:rsidRDefault="00621223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6420"/>
      </w:tblGrid>
      <w:tr w:rsidR="00842A0C" w:rsidTr="00842A0C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Наименование Программы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 xml:space="preserve">«Комплексного развития социальной </w:t>
            </w:r>
            <w:proofErr w:type="gramStart"/>
            <w:r>
              <w:t xml:space="preserve">инфраструктуры  </w:t>
            </w:r>
            <w:proofErr w:type="spellStart"/>
            <w:r>
              <w:t>Кебезенского</w:t>
            </w:r>
            <w:proofErr w:type="spellEnd"/>
            <w:proofErr w:type="gramEnd"/>
            <w:r>
              <w:t xml:space="preserve"> сельского поселения на 2016-2020 годы и на период до 2025 года»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(далее — Программа)</w:t>
            </w:r>
          </w:p>
        </w:tc>
      </w:tr>
      <w:tr w:rsidR="00842A0C" w:rsidTr="00842A0C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Основание для разработки Программы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 xml:space="preserve">— Федеральный закон от 29.12. 2014 № 456-ФЗ </w:t>
            </w:r>
            <w:proofErr w:type="gramStart"/>
            <w:r>
              <w:t>« О</w:t>
            </w:r>
            <w:proofErr w:type="gramEnd"/>
            <w:r>
              <w:t xml:space="preserve">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— СП 42.13330.2011 «Градостроительство. Планировка и застройка городских и сельских поселений»;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— Генеральный </w:t>
            </w:r>
            <w:proofErr w:type="gramStart"/>
            <w:r>
              <w:t xml:space="preserve">план  </w:t>
            </w:r>
            <w:proofErr w:type="spellStart"/>
            <w:r>
              <w:t>Кебезенского</w:t>
            </w:r>
            <w:proofErr w:type="spellEnd"/>
            <w:proofErr w:type="gramEnd"/>
            <w:r>
              <w:t xml:space="preserve"> сельского поселения;</w:t>
            </w:r>
          </w:p>
          <w:p w:rsidR="00842A0C" w:rsidRDefault="00842A0C">
            <w:pPr>
              <w:pStyle w:val="a3"/>
              <w:spacing w:before="0" w:beforeAutospacing="0" w:after="0" w:afterAutospacing="0"/>
              <w:textAlignment w:val="baseline"/>
            </w:pPr>
            <w:r>
              <w:t>— </w:t>
            </w:r>
            <w:hyperlink r:id="rId5" w:history="1">
              <w:r>
                <w:rPr>
                  <w:rStyle w:val="a5"/>
                  <w:rFonts w:ascii="inherit" w:hAnsi="inherit"/>
                  <w:color w:val="0066CC"/>
                  <w:bdr w:val="none" w:sz="0" w:space="0" w:color="auto" w:frame="1"/>
                </w:rPr>
                <w:t>Постановление</w:t>
              </w:r>
            </w:hyperlink>
            <w:r>
              <w:t> 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842A0C" w:rsidTr="00842A0C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Заказчик Программы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Администрация   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</w:tr>
      <w:tr w:rsidR="00842A0C" w:rsidTr="00842A0C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Разработчик Программы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 xml:space="preserve">Администрация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</w:t>
            </w:r>
          </w:p>
        </w:tc>
      </w:tr>
      <w:tr w:rsidR="00842A0C" w:rsidTr="00842A0C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Ответственный исполнитель Программы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 xml:space="preserve">Администрация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</w:t>
            </w:r>
          </w:p>
        </w:tc>
      </w:tr>
      <w:tr w:rsidR="00842A0C" w:rsidTr="00842A0C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Исполнители Программы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 xml:space="preserve">Администрация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поселения, </w:t>
            </w:r>
            <w:proofErr w:type="spellStart"/>
            <w:r>
              <w:t>ресурсоснабжающие</w:t>
            </w:r>
            <w:proofErr w:type="spellEnd"/>
            <w:r>
              <w:t xml:space="preserve"> организации</w:t>
            </w:r>
          </w:p>
        </w:tc>
      </w:tr>
      <w:tr w:rsidR="00842A0C" w:rsidTr="00842A0C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Цели и задачи Программы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Цели Программы: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Развитие социальной инфраструктуры (объекты образования, здравоохранения, физической культуры и </w:t>
            </w:r>
            <w:proofErr w:type="gramStart"/>
            <w:r>
              <w:t>массового спорта</w:t>
            </w:r>
            <w:proofErr w:type="gramEnd"/>
            <w:r>
              <w:t xml:space="preserve">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Задачи: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— развитие социальной инфраструктуры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—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—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—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—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842A0C" w:rsidTr="00842A0C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Важнейшие целевые показатели Программы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Целевыми показателями Программы являются: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—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— создание условий для занятий спортом;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— сокращение дефицита мест в детских дошкольных учреждениях;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—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842A0C" w:rsidTr="00842A0C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Ожидаемый конечный результат Программы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 Ввод в эксплуатацию предусмотренных Программой объектов социальной инфраструктуру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доступность объектов социальной инфраструктуры;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достижение расчетного уровня обеспеченности населения социальными инфраструктурами;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эффективность функционирования действующей социальной инфраструктуры;</w:t>
            </w:r>
          </w:p>
        </w:tc>
      </w:tr>
      <w:tr w:rsidR="00842A0C" w:rsidTr="00842A0C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Объемы и источники финансирования Программы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Всего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и в </w:t>
            </w:r>
            <w:proofErr w:type="spellStart"/>
            <w:r>
              <w:t>т.ч</w:t>
            </w:r>
            <w:proofErr w:type="spellEnd"/>
            <w:r>
              <w:t>. по бюджетам</w:t>
            </w:r>
          </w:p>
        </w:tc>
      </w:tr>
      <w:tr w:rsidR="00842A0C" w:rsidTr="00842A0C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Сроки реализации Программы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1 этап: 2016-2020 годы;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>2 этап до 2025    года (на срок действия генерального плана)</w:t>
            </w:r>
          </w:p>
        </w:tc>
      </w:tr>
      <w:tr w:rsidR="00842A0C" w:rsidTr="00842A0C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Контроль за исполнением Программы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842A0C" w:rsidRDefault="00842A0C">
            <w:r>
              <w:t>Контроль за реализацией Программы осуществляется: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— Администрацией муниципального образования </w:t>
            </w:r>
            <w:proofErr w:type="spellStart"/>
            <w:r>
              <w:t>Турочакский</w:t>
            </w:r>
            <w:proofErr w:type="spellEnd"/>
            <w:r>
              <w:t xml:space="preserve"> район;</w:t>
            </w:r>
          </w:p>
          <w:p w:rsidR="00842A0C" w:rsidRDefault="00842A0C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— </w:t>
            </w:r>
            <w:proofErr w:type="spellStart"/>
            <w:r>
              <w:t>Кебезенской</w:t>
            </w:r>
            <w:proofErr w:type="spellEnd"/>
            <w:r>
              <w:t xml:space="preserve"> администрацией сельского поселения</w:t>
            </w:r>
          </w:p>
        </w:tc>
      </w:tr>
    </w:tbl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842A0C" w:rsidRDefault="00842A0C" w:rsidP="00842A0C">
      <w:pPr>
        <w:numPr>
          <w:ilvl w:val="0"/>
          <w:numId w:val="1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Основания для разработки программы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Основаниями для разработки программы являются: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Федеральный закон от 30.12. 2012 № 289-ФЗ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« 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СП 42.13330.2011 «Градостроительство. Планировка и застройка городских и сельских поселений».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Генеральный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план 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поселения;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 </w:t>
      </w:r>
      <w:hyperlink r:id="rId6" w:history="1">
        <w:r>
          <w:rPr>
            <w:rStyle w:val="a5"/>
            <w:rFonts w:ascii="inherit" w:hAnsi="inherit" w:cs="Arial"/>
            <w:color w:val="0066CC"/>
            <w:sz w:val="21"/>
            <w:szCs w:val="21"/>
            <w:bdr w:val="none" w:sz="0" w:space="0" w:color="auto" w:frame="1"/>
          </w:rPr>
          <w:t>Постановление</w:t>
        </w:r>
      </w:hyperlink>
      <w:r>
        <w:rPr>
          <w:rFonts w:ascii="Arial" w:hAnsi="Arial" w:cs="Arial"/>
          <w:color w:val="555555"/>
          <w:sz w:val="21"/>
          <w:szCs w:val="21"/>
        </w:rPr>
        <w:t> 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numPr>
          <w:ilvl w:val="0"/>
          <w:numId w:val="1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Цели и задачи совершенствования и развития коммунального комплекса</w:t>
      </w: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сельского поселения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Целью разработки Программы комплексного развития социальной инфраструктуры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 является обеспечение развитие социальной инфраструктуры (объекты образования, здравоохранения, физической культуры 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массового спорта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Программа комплексного развития социальной инфраструктуры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Основными задачами совершенствования и развития социальной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инфраструктуры 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 являются: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улучшение условий проживания населения за счет строительства,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numPr>
          <w:ilvl w:val="0"/>
          <w:numId w:val="20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Сроки и этапы реализации Программы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Период реализации Программы: 2 этапа.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 этап: 2016-2020 годы;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 этап: до 2025   года.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numPr>
          <w:ilvl w:val="0"/>
          <w:numId w:val="2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Механизм реализации целевой программы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Механизм реализации Программы включает следующие элементы: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разработку и издание муниципальных правовых актов, необходимых для выполнения Программы;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Управление и контроль за реализацией Программы осуществляет координатор – Администрация муниципального образования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Турочакский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район,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Кебезенская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администрация сельского поселения.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Реализацию Программы осуществляют исполнители –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numPr>
          <w:ilvl w:val="0"/>
          <w:numId w:val="2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Оценка ожидаемой эффективности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2020г. определяются с помощью целевых индикаторов.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842A0C" w:rsidRDefault="00842A0C" w:rsidP="00842A0C">
      <w:pPr>
        <w:numPr>
          <w:ilvl w:val="0"/>
          <w:numId w:val="2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</w:rPr>
        <w:t>Технологические результаты: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обеспечение новых мест в общеобразовательных организациях;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обеспечение новых мест в объектах здравоохранения;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создание новых и развитие существующих спортивно-тренировочных центров;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увеличение количества учреждений культуры и искусства;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ликвидация дефицита объектов социальной инфраструктуры;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внедрение энергосберегающих технологий;</w:t>
      </w:r>
    </w:p>
    <w:p w:rsidR="00842A0C" w:rsidRDefault="00842A0C" w:rsidP="00842A0C">
      <w:pPr>
        <w:numPr>
          <w:ilvl w:val="0"/>
          <w:numId w:val="2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</w:rPr>
        <w:t>Социальные результаты: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повышение надежности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функционирования  систем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социальной инфраструктуры и обеспечивающие комфортные и безопасные условия для проживания людей;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повышение благосостояния населения;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снижение социальной напряженности.</w:t>
      </w:r>
    </w:p>
    <w:p w:rsidR="00842A0C" w:rsidRDefault="00842A0C" w:rsidP="00842A0C">
      <w:pPr>
        <w:numPr>
          <w:ilvl w:val="0"/>
          <w:numId w:val="2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</w:rPr>
        <w:t>Экономические результаты: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повышение инвестиционной привлекательности организаций строительного комплекса поселка.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numPr>
          <w:ilvl w:val="0"/>
          <w:numId w:val="2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Объекты дошкольного образования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Учреждения дошкольного образования: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территории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 расположено два дошкольных образовательных учреждений, обеспечивающий воспитание, обучение, присмотр и уход за детьми в возрасте до 7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лет 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Детский сад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с.Кебезень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был введен в действие 1963г.и находится в ветхом состоянии. 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с.Усть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-Пыжа введен в действие в 1990году и в настоящее время находится в удовлетворительном состоянии. Необходимо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с.Кебезень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реконструкция детского сада. Планируем три группы: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младшая,средняя</w:t>
      </w:r>
      <w:proofErr w:type="gramEnd"/>
      <w:r>
        <w:rPr>
          <w:rFonts w:ascii="Arial" w:hAnsi="Arial" w:cs="Arial"/>
          <w:color w:val="555555"/>
          <w:sz w:val="21"/>
          <w:szCs w:val="21"/>
        </w:rPr>
        <w:t>,класс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школьной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подготовки.Загруженность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групп соответственно по 20 детей.  Материально -техническая база в детском саду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с.Кебезень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практически отсутствует.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с.Усть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-Пыжа материально-техническая база в удовлетворительном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состоянии.Для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реконструкции детского сада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с.Кебезень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нужна проектно-сметная документация. Планируется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реконструкция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начиная со второго полугодия 2017года.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Финансовая  обеспеченность</w:t>
      </w:r>
      <w:proofErr w:type="gramEnd"/>
      <w:r>
        <w:rPr>
          <w:rFonts w:ascii="Arial" w:hAnsi="Arial" w:cs="Arial"/>
          <w:color w:val="555555"/>
          <w:sz w:val="21"/>
          <w:szCs w:val="21"/>
        </w:rPr>
        <w:t>  предусматривается минимум  20 млн. рублей.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Общеобразовательные учреждения: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Сеть общеобразовательных учреждений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(полное).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с.Кебезень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МОУ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Кебезенская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СОШ»  введена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 действие 1966году. В данное время обучаются 205 детей.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с.Тулой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филиал  МОУ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СОШ»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Тулойская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ООШ». В данное время в школе 35 детей.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Кебезенская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СОШ» требует реконструкцию здания. Материально-техническая база в неудовлетворительном состоянии.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Тулойская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ООШ» материально-техническая база в удовлетворительном состоянии. Планируется реконструкция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СОШ,  финансовая</w:t>
      </w:r>
      <w:proofErr w:type="gramEnd"/>
      <w:r>
        <w:rPr>
          <w:rFonts w:ascii="Arial" w:hAnsi="Arial" w:cs="Arial"/>
          <w:color w:val="555555"/>
          <w:sz w:val="21"/>
          <w:szCs w:val="21"/>
        </w:rPr>
        <w:t>  обеспеченность  которой планируется  около  70  млн. руб.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842A0C" w:rsidRDefault="00842A0C" w:rsidP="00842A0C">
      <w:pPr>
        <w:numPr>
          <w:ilvl w:val="0"/>
          <w:numId w:val="2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Объекты здравоохранения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Медицинские услуги населению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оказывают  три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фельдшерско-акушерских пункта , которые находятся в селах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с.Кебезень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с.Тулой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с.Усть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-Пыжа. ФАП – является первичным (доврачебным) звеном здравоохранения в сельской местности. ФАП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с.Кебезень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находится в неудовлетворительном материально-техническом состоянии. ФАП находится в здании администрации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с.Кебезень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Здание администрации в ветхом состоянии, требуется реконструкция здания. Отсюда следует,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что  требуется</w:t>
      </w:r>
      <w:proofErr w:type="gramEnd"/>
      <w:r>
        <w:rPr>
          <w:rFonts w:ascii="Arial" w:hAnsi="Arial" w:cs="Arial"/>
          <w:color w:val="555555"/>
          <w:sz w:val="21"/>
          <w:szCs w:val="21"/>
        </w:rPr>
        <w:t>  строительство модульного 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ФАПа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для жителей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с.Кебезень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.Земельный участок под ФАП имеется 30 соток. Предварительная стоимость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модульного 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ФАПа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составляет минимум  3,5 млн. рублей.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с.Тулой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ФАП находится в удовлетворительном состоянии, но материально-техническая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база  на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низком  уровне.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с.Усть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-Пыжа ФАП в удовлетворительном состоянии, но также требуется повысить материально-техническую базу.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numPr>
          <w:ilvl w:val="0"/>
          <w:numId w:val="2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Объекты физической культуры и массового спорта.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сельское поселение в двух селах имеет стадионы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с.Кебезень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сТулой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которые не оборудованы спортивным инвентарем, не огорожены изгородью. Материально-техническая база практически отсутствует. Отсюда следует, что нужны проектно-сметные документации и реконструкции стадионов.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Особо  следует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  отметить,  что  поселение  является  компактным  проживанием  КМН.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Подрастающее  поколение</w:t>
      </w:r>
      <w:proofErr w:type="gramEnd"/>
      <w:r>
        <w:rPr>
          <w:rFonts w:ascii="Arial" w:hAnsi="Arial" w:cs="Arial"/>
          <w:color w:val="555555"/>
          <w:sz w:val="21"/>
          <w:szCs w:val="21"/>
        </w:rPr>
        <w:t>  и  молодёжь  в  целях  патриотического  воспитания  нуждается  в  руководителе  по  физической  культуре по  национальным  видам  спорта.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numPr>
          <w:ilvl w:val="0"/>
          <w:numId w:val="2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Объекты культуры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сельское поселение имеет четыре сельских клуба. </w:t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с.Кебезень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центральная усадьба поселения, СДК</w:t>
      </w:r>
      <w:r>
        <w:rPr>
          <w:rFonts w:ascii="Arial" w:hAnsi="Arial" w:cs="Arial"/>
          <w:color w:val="555555"/>
          <w:sz w:val="21"/>
          <w:szCs w:val="21"/>
        </w:rPr>
        <w:t xml:space="preserve"> находится в аварийном состоянии. Построен СДК в 1964 году. Здание 300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Капитального ремонта никогда не было. СДК требуется реконструкции здания. Соответственно, нужна проектно-сметная документация. Материально-технической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базы  нет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Реализация  данного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  мероприятия  составляет  минимум  6,5 млн. рублей.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С.Тулой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сельский </w:t>
      </w:r>
      <w:proofErr w:type="gram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клуб</w:t>
      </w:r>
      <w:r>
        <w:rPr>
          <w:rFonts w:ascii="Arial" w:hAnsi="Arial" w:cs="Arial"/>
          <w:color w:val="555555"/>
          <w:sz w:val="21"/>
          <w:szCs w:val="21"/>
        </w:rPr>
        <w:t>  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удовлетворительном состоянии. Требуется частичный ремонт, косметический ремонт. Материально-технической базы нет.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С.Усть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-Пыжа сельский клуб</w:t>
      </w:r>
      <w:r>
        <w:rPr>
          <w:rFonts w:ascii="Arial" w:hAnsi="Arial" w:cs="Arial"/>
          <w:color w:val="555555"/>
          <w:sz w:val="21"/>
          <w:szCs w:val="21"/>
        </w:rPr>
        <w:t> в удовлетворительном состоянии. Требуется частичный ремонт здания, косметический ремонт. Материально-технической базы нет.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С.Кебезень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-Заречье сельский клуб. </w:t>
      </w:r>
      <w:r>
        <w:rPr>
          <w:rFonts w:ascii="Arial" w:hAnsi="Arial" w:cs="Arial"/>
          <w:color w:val="555555"/>
          <w:sz w:val="21"/>
          <w:szCs w:val="21"/>
        </w:rPr>
        <w:t xml:space="preserve">Здание построено в 1951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году 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имеет 300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Капитального ремонта не было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никогда.Сельский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клуб находится на левом берегу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р.Бия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Два сельских клуба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Кебезенскому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поселению содержать очень трудно, предлагаем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переоборудовать  данный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  сельский  клуб в Пансионат для престарелых людей  под  названием «Серебряный берег».  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Для  этого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  нужно провести реконструкцию здания  путём  расширения помещения  клуба,  её  планировки и  подвода  коммуникаций.  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При  реализации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  данного  мероприятия  решится  не  только  судьба  данного  учреждения,  но и  появятся  рабочие  места,  а у  пожилых  людей  появится  смысл  жизни.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  наше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  непростое  время около  25  человек будут не  только  здоровыми,  а  жизнерадостными  и  счастливыми.   Требуется проектно-сметная документация. На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данную  программу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  требуется  минимум  7 млн. рублей.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numPr>
          <w:ilvl w:val="0"/>
          <w:numId w:val="30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Объект социального </w:t>
      </w:r>
      <w:proofErr w:type="gram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и  безопасного</w:t>
      </w:r>
      <w:proofErr w:type="gram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 условия  проживания  людей.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 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Для  полноценного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  и безопасного  условия  действия  объектов  на  территории 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  сельского  поселения нужен 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подвисной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  автомобильный  мост  над 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р.Бия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 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Данный  мост</w:t>
      </w:r>
      <w:proofErr w:type="gramEnd"/>
      <w:r>
        <w:rPr>
          <w:rFonts w:ascii="Arial" w:hAnsi="Arial" w:cs="Arial"/>
          <w:color w:val="555555"/>
          <w:sz w:val="21"/>
          <w:szCs w:val="21"/>
        </w:rPr>
        <w:t>  нужен для  подвоза дров, сена,  продуктов  питания,  оказания  скорой  помощи,  проезда  пожарной  машины.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Мы  бесконечно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  благодарны за  пешеходный  мост,  но,  к  сожалению, он  не  решает  вышеперечисленных  проблем.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Безусловно,  требуется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проектно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сметная  документация,  экспертиза.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Финансовое  вложение</w:t>
      </w:r>
      <w:proofErr w:type="gramEnd"/>
      <w:r>
        <w:rPr>
          <w:rFonts w:ascii="Arial" w:hAnsi="Arial" w:cs="Arial"/>
          <w:color w:val="555555"/>
          <w:sz w:val="21"/>
          <w:szCs w:val="21"/>
        </w:rPr>
        <w:t>  соответствует  не  менее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842A0C" w:rsidRDefault="00842A0C" w:rsidP="00842A0C">
      <w:pPr>
        <w:numPr>
          <w:ilvl w:val="0"/>
          <w:numId w:val="3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Мероприятия программы и показатели.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11.1. Объекты образования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 </w:t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мероприятия</w:t>
      </w:r>
      <w:r>
        <w:rPr>
          <w:rFonts w:ascii="Arial" w:hAnsi="Arial" w:cs="Arial"/>
          <w:color w:val="555555"/>
          <w:sz w:val="21"/>
          <w:szCs w:val="21"/>
        </w:rPr>
        <w:t>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Разработка, утверждение проектно-сметной документации для строительства объектов образования;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 Капитальный ремонт объектов образования сельского поселения;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Оснащение необходимым оборудованием объектов образования, отвечающим современным требованиям;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Будут достигнуты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следующие  </w:t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показатели</w:t>
      </w:r>
      <w:proofErr w:type="gramEnd"/>
      <w:r>
        <w:rPr>
          <w:rFonts w:ascii="Arial" w:hAnsi="Arial" w:cs="Arial"/>
          <w:color w:val="555555"/>
          <w:sz w:val="21"/>
          <w:szCs w:val="21"/>
        </w:rPr>
        <w:t>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11.2. Объекты здравоохранения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Разработка, утверждение проектно-сметной документации для строительства объектов здравоохранения;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  Капитальный ремонт объектов здравоохранения сельского поселения;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Оснащение необходимым оборудованием объектов здравоохранения, отвечающим современным требованиям;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Обеспечение безопасного, качественного и эффективного использования населением объектов социальной инфраструктуры;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6) Эффективность функционирования действующей социальной инфраструктуры.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Будут достигнуты следующие показатели: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11.3. Объекты физической культуры и массового спорта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Разработка, утверждение проектно-сметной документации для строительства объектов здравоохранения;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Капитальный ремонт объектов физической культуры и массового спорта сельского поселения;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Оснащение необходимым оборудованием объектов физической культуры и массового спорта, отвечающим современным требованиям;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4)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Обеспечение  безопасного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качественного и эффективного использования населением объектов социальной инфраструктуры;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Совершенствование условий для развития спорта.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Будут достигнуты следующие показатели: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11.4. Объекты культуры.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Для повышения надежности работы, обеспечения объектами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культуры  нового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строительства на перспективных земельных участках и повышения экономической эффективности необходимы мероприятия: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Разработка, утверждение проектно-сметной документации для строительства объектов культуры;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Капитальный ремонт объектов культуры;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Оснащение необходимым оборудованием объектов культуры, отвечающим современным требованиям;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Обеспечение безопасного, качественного и эффективного использования населением объектов социальной инфраструктуры;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Эффективность функционирования действующей социальной инфраструктуры;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Будут достигнуты следующие показатели: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11.5 Объект социального и безопасного проживания людей.</w:t>
      </w:r>
    </w:p>
    <w:p w:rsidR="00842A0C" w:rsidRDefault="00842A0C" w:rsidP="00842A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1)разработка, утверждение проектно-сметной документации для строительства автомобильного моста ч/з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р.Бия</w:t>
      </w:r>
      <w:proofErr w:type="spellEnd"/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Улучшение условий проживания населения за счет строительства, реконструкции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3)Ликвидация дефицита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обьектов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социальной инфраструктуры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Внедрение энергосберегающих технологий</w:t>
      </w:r>
    </w:p>
    <w:p w:rsidR="00842A0C" w:rsidRDefault="00842A0C" w:rsidP="00842A0C">
      <w:pPr>
        <w:numPr>
          <w:ilvl w:val="0"/>
          <w:numId w:val="3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Планируемые расходы и источники финансирования программы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842A0C" w:rsidRDefault="00842A0C" w:rsidP="00842A0C">
      <w:pPr>
        <w:numPr>
          <w:ilvl w:val="0"/>
          <w:numId w:val="3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Определение эффекта от реализации мероприятий</w:t>
      </w: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 развитию социальной инфраструктуры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здравоохранения, культуры.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Реализация мероприятий по развитию социальной инфраструктуры позволит: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готовность объектов, ввод которых предусмотрен программными мероприятиями;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создание условий для занятий спортом;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сокращение дефицита мест в детских дошкольных учреждениях;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-повышение благосостояния населения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-снижение социальной напряженности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обеспечение новых мест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обьектах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социальной инфраструктуры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-обеспечение комфортное и безопасное условие для проживания людей</w:t>
      </w:r>
    </w:p>
    <w:p w:rsidR="00842A0C" w:rsidRDefault="00842A0C" w:rsidP="00842A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C95B29" w:rsidRPr="00842A0C" w:rsidRDefault="00C95B29" w:rsidP="00842A0C"/>
    <w:sectPr w:rsidR="00C95B29" w:rsidRPr="0084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F27"/>
    <w:multiLevelType w:val="multilevel"/>
    <w:tmpl w:val="8A0C7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A15BF"/>
    <w:multiLevelType w:val="multilevel"/>
    <w:tmpl w:val="010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F7655"/>
    <w:multiLevelType w:val="multilevel"/>
    <w:tmpl w:val="DB529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20471"/>
    <w:multiLevelType w:val="multilevel"/>
    <w:tmpl w:val="0F90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96F84"/>
    <w:multiLevelType w:val="multilevel"/>
    <w:tmpl w:val="BE94AC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C5414"/>
    <w:multiLevelType w:val="multilevel"/>
    <w:tmpl w:val="A2A2B5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7315B"/>
    <w:multiLevelType w:val="multilevel"/>
    <w:tmpl w:val="63843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205AC"/>
    <w:multiLevelType w:val="multilevel"/>
    <w:tmpl w:val="81203F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24B19"/>
    <w:multiLevelType w:val="multilevel"/>
    <w:tmpl w:val="89B6A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C11D4"/>
    <w:multiLevelType w:val="multilevel"/>
    <w:tmpl w:val="2AE87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C0352"/>
    <w:multiLevelType w:val="multilevel"/>
    <w:tmpl w:val="06648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D4084"/>
    <w:multiLevelType w:val="multilevel"/>
    <w:tmpl w:val="84F8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B2854"/>
    <w:multiLevelType w:val="multilevel"/>
    <w:tmpl w:val="ADD2F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63774B"/>
    <w:multiLevelType w:val="multilevel"/>
    <w:tmpl w:val="8808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0E716F"/>
    <w:multiLevelType w:val="multilevel"/>
    <w:tmpl w:val="F5541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934DB"/>
    <w:multiLevelType w:val="multilevel"/>
    <w:tmpl w:val="CCEA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102332"/>
    <w:multiLevelType w:val="multilevel"/>
    <w:tmpl w:val="EE7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805154"/>
    <w:multiLevelType w:val="multilevel"/>
    <w:tmpl w:val="9FD63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04191"/>
    <w:multiLevelType w:val="multilevel"/>
    <w:tmpl w:val="28E41A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11CE5"/>
    <w:multiLevelType w:val="multilevel"/>
    <w:tmpl w:val="812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66DDF"/>
    <w:multiLevelType w:val="multilevel"/>
    <w:tmpl w:val="BF9C5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526E9A"/>
    <w:multiLevelType w:val="multilevel"/>
    <w:tmpl w:val="BAE21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21B04"/>
    <w:multiLevelType w:val="multilevel"/>
    <w:tmpl w:val="2C66B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77D9A"/>
    <w:multiLevelType w:val="multilevel"/>
    <w:tmpl w:val="B0A2D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406355"/>
    <w:multiLevelType w:val="multilevel"/>
    <w:tmpl w:val="F00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2638B4"/>
    <w:multiLevelType w:val="multilevel"/>
    <w:tmpl w:val="2A242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2577AE"/>
    <w:multiLevelType w:val="multilevel"/>
    <w:tmpl w:val="3C445C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50997"/>
    <w:multiLevelType w:val="multilevel"/>
    <w:tmpl w:val="51B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2A7B08"/>
    <w:multiLevelType w:val="multilevel"/>
    <w:tmpl w:val="480C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76552"/>
    <w:multiLevelType w:val="multilevel"/>
    <w:tmpl w:val="980466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475801"/>
    <w:multiLevelType w:val="multilevel"/>
    <w:tmpl w:val="C7882F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8856C1"/>
    <w:multiLevelType w:val="multilevel"/>
    <w:tmpl w:val="C0E6C9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C1897"/>
    <w:multiLevelType w:val="multilevel"/>
    <w:tmpl w:val="FE98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25"/>
  </w:num>
  <w:num w:numId="5">
    <w:abstractNumId w:val="28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27"/>
  </w:num>
  <w:num w:numId="11">
    <w:abstractNumId w:val="16"/>
  </w:num>
  <w:num w:numId="12">
    <w:abstractNumId w:val="17"/>
  </w:num>
  <w:num w:numId="13">
    <w:abstractNumId w:val="8"/>
  </w:num>
  <w:num w:numId="14">
    <w:abstractNumId w:val="22"/>
  </w:num>
  <w:num w:numId="15">
    <w:abstractNumId w:val="32"/>
  </w:num>
  <w:num w:numId="16">
    <w:abstractNumId w:val="13"/>
  </w:num>
  <w:num w:numId="17">
    <w:abstractNumId w:val="24"/>
  </w:num>
  <w:num w:numId="18">
    <w:abstractNumId w:val="1"/>
  </w:num>
  <w:num w:numId="19">
    <w:abstractNumId w:val="2"/>
  </w:num>
  <w:num w:numId="20">
    <w:abstractNumId w:val="20"/>
  </w:num>
  <w:num w:numId="21">
    <w:abstractNumId w:val="10"/>
  </w:num>
  <w:num w:numId="22">
    <w:abstractNumId w:val="23"/>
  </w:num>
  <w:num w:numId="23">
    <w:abstractNumId w:val="3"/>
  </w:num>
  <w:num w:numId="24">
    <w:abstractNumId w:val="9"/>
  </w:num>
  <w:num w:numId="25">
    <w:abstractNumId w:val="0"/>
  </w:num>
  <w:num w:numId="26">
    <w:abstractNumId w:val="21"/>
  </w:num>
  <w:num w:numId="27">
    <w:abstractNumId w:val="5"/>
  </w:num>
  <w:num w:numId="28">
    <w:abstractNumId w:val="7"/>
  </w:num>
  <w:num w:numId="29">
    <w:abstractNumId w:val="4"/>
  </w:num>
  <w:num w:numId="30">
    <w:abstractNumId w:val="31"/>
  </w:num>
  <w:num w:numId="31">
    <w:abstractNumId w:val="26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C"/>
    <w:rsid w:val="00254FD2"/>
    <w:rsid w:val="002D5083"/>
    <w:rsid w:val="00454138"/>
    <w:rsid w:val="004F39BA"/>
    <w:rsid w:val="00621223"/>
    <w:rsid w:val="00842A0C"/>
    <w:rsid w:val="00BA4ACE"/>
    <w:rsid w:val="00C95B29"/>
    <w:rsid w:val="00ED0F0C"/>
    <w:rsid w:val="00EF175A"/>
    <w:rsid w:val="00F55E5D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09F5"/>
  <w15:chartTrackingRefBased/>
  <w15:docId w15:val="{2AD40EE5-8669-4C5B-8759-1FD47B1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BA4ACE"/>
  </w:style>
  <w:style w:type="character" w:styleId="a5">
    <w:name w:val="Hyperlink"/>
    <w:basedOn w:val="a0"/>
    <w:uiPriority w:val="99"/>
    <w:semiHidden/>
    <w:unhideWhenUsed/>
    <w:rsid w:val="00BA4ACE"/>
    <w:rPr>
      <w:color w:val="0000FF"/>
      <w:u w:val="single"/>
    </w:rPr>
  </w:style>
  <w:style w:type="character" w:customStyle="1" w:styleId="byline">
    <w:name w:val="byline"/>
    <w:basedOn w:val="a0"/>
    <w:rsid w:val="00BA4ACE"/>
  </w:style>
  <w:style w:type="character" w:customStyle="1" w:styleId="author">
    <w:name w:val="author"/>
    <w:basedOn w:val="a0"/>
    <w:rsid w:val="00BA4ACE"/>
  </w:style>
  <w:style w:type="character" w:customStyle="1" w:styleId="posted-in">
    <w:name w:val="posted-in"/>
    <w:basedOn w:val="a0"/>
    <w:rsid w:val="00BA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3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98922.0/" TargetMode="External"/><Relationship Id="rId5" Type="http://schemas.openxmlformats.org/officeDocument/2006/relationships/hyperlink" Target="garantf1://7029892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2022-03-09T08:12:00Z</dcterms:created>
  <dcterms:modified xsi:type="dcterms:W3CDTF">2022-03-09T08:12:00Z</dcterms:modified>
</cp:coreProperties>
</file>